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84" w:rsidRDefault="00B662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6284" w:rsidRDefault="00B66284">
      <w:pPr>
        <w:pStyle w:val="ConsPlusNormal"/>
        <w:jc w:val="both"/>
        <w:outlineLvl w:val="0"/>
      </w:pPr>
    </w:p>
    <w:p w:rsidR="00B66284" w:rsidRDefault="00B66284">
      <w:pPr>
        <w:pStyle w:val="ConsPlusTitle"/>
        <w:jc w:val="center"/>
        <w:outlineLvl w:val="0"/>
      </w:pPr>
      <w:r>
        <w:t>СОВЕТ ЗАИНСКОГО МУНИЦИПАЛЬНОГО РАЙОНА РЕСПУБЛИКИ ТАТАРСТАН</w:t>
      </w:r>
    </w:p>
    <w:p w:rsidR="00B66284" w:rsidRDefault="00B66284">
      <w:pPr>
        <w:pStyle w:val="ConsPlusTitle"/>
        <w:jc w:val="center"/>
      </w:pPr>
    </w:p>
    <w:p w:rsidR="00B66284" w:rsidRDefault="00B66284">
      <w:pPr>
        <w:pStyle w:val="ConsPlusTitle"/>
        <w:jc w:val="center"/>
      </w:pPr>
      <w:r>
        <w:t>РЕШЕНИЕ</w:t>
      </w:r>
    </w:p>
    <w:p w:rsidR="00B66284" w:rsidRDefault="00B66284">
      <w:pPr>
        <w:pStyle w:val="ConsPlusTitle"/>
        <w:jc w:val="center"/>
      </w:pPr>
      <w:r>
        <w:t>от 11 ноября 2005 г. N 16</w:t>
      </w:r>
    </w:p>
    <w:p w:rsidR="00B66284" w:rsidRDefault="00B66284">
      <w:pPr>
        <w:pStyle w:val="ConsPlusTitle"/>
        <w:jc w:val="center"/>
      </w:pPr>
    </w:p>
    <w:p w:rsidR="00B66284" w:rsidRDefault="00B66284">
      <w:pPr>
        <w:pStyle w:val="ConsPlusTitle"/>
        <w:jc w:val="center"/>
      </w:pPr>
      <w:r>
        <w:t>О ВВЕДЕНИИ В ДЕЙСТВИЕ СИСТЕМЫ НАЛОГООБЛОЖЕНИЯ</w:t>
      </w:r>
    </w:p>
    <w:p w:rsidR="00B66284" w:rsidRDefault="00B66284">
      <w:pPr>
        <w:pStyle w:val="ConsPlusTitle"/>
        <w:jc w:val="center"/>
      </w:pPr>
      <w:r>
        <w:t>В ВИДЕ ЕДИНОГО НАЛОГА НА ВМЕНЕННЫЙ ДОХОД</w:t>
      </w:r>
    </w:p>
    <w:p w:rsidR="00B66284" w:rsidRDefault="00B66284">
      <w:pPr>
        <w:pStyle w:val="ConsPlusTitle"/>
        <w:jc w:val="center"/>
      </w:pPr>
      <w:r>
        <w:t>ДЛЯ ОТДЕЛЬНЫХ ВИДОВ ДЕЯТЕЛЬНОСТИ</w:t>
      </w:r>
    </w:p>
    <w:p w:rsidR="00B66284" w:rsidRDefault="00B662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62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6284" w:rsidRDefault="00B662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284" w:rsidRDefault="00B662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Заинского районного Совета</w:t>
            </w:r>
            <w:proofErr w:type="gramEnd"/>
          </w:p>
          <w:p w:rsidR="00B66284" w:rsidRDefault="00B66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05.10.2007 </w:t>
            </w:r>
            <w:hyperlink r:id="rId6" w:history="1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24.10.2008 </w:t>
            </w:r>
            <w:hyperlink r:id="rId7" w:history="1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:rsidR="00B66284" w:rsidRDefault="00B66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06.10.2010 </w:t>
            </w:r>
            <w:hyperlink r:id="rId8" w:history="1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 xml:space="preserve">, от 08.04.2011 </w:t>
            </w:r>
            <w:hyperlink r:id="rId9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</w:t>
            </w:r>
          </w:p>
          <w:p w:rsidR="00B66284" w:rsidRDefault="00B66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27.09.2012 </w:t>
            </w:r>
            <w:hyperlink r:id="rId10" w:history="1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 xml:space="preserve">, от 15.11.2016 </w:t>
            </w:r>
            <w:hyperlink r:id="rId11" w:history="1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,</w:t>
            </w:r>
          </w:p>
          <w:p w:rsidR="00B66284" w:rsidRDefault="00B66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12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</w:pPr>
      <w:r>
        <w:t xml:space="preserve">Настоящим решением в соответствии с Налоговым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на территории муниципального образования "Заинский муниципальный район" Республики Татарстан вводится в действие система налогообложения в виде налога на вмененный доход для отдельных видов деятельности.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  <w:outlineLvl w:val="1"/>
      </w:pPr>
      <w:r>
        <w:t>Статья 2. Налогоплательщики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</w:pPr>
      <w:r>
        <w:t xml:space="preserve">Налогоплательщиками единого налога являются организации и индивидуальные предприниматели, осуществляющие на территории муниципального образования "Заинский муниципальный район" Республики Татарстан виды предпринимательской деятельности, предусмотренные </w:t>
      </w:r>
      <w:hyperlink w:anchor="P24" w:history="1">
        <w:r>
          <w:rPr>
            <w:color w:val="0000FF"/>
          </w:rPr>
          <w:t>статьей 3</w:t>
        </w:r>
      </w:hyperlink>
      <w:r>
        <w:t xml:space="preserve"> настоящего решения.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  <w:outlineLvl w:val="1"/>
      </w:pPr>
      <w:bookmarkStart w:id="0" w:name="P24"/>
      <w:bookmarkEnd w:id="0"/>
      <w:r>
        <w:t>Статья 3. Виды предпринимательской деятельности, облагаемые единым налогом</w:t>
      </w:r>
    </w:p>
    <w:p w:rsidR="00B66284" w:rsidRDefault="00B66284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05.10.2007 N 149)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</w:pPr>
      <w:r>
        <w:t>Единый налог на вмененный доход применяется в отношении следующих видов предпринимательской деятельности: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1) оказание бытовых услуг;</w:t>
      </w:r>
    </w:p>
    <w:p w:rsidR="00B66284" w:rsidRDefault="00B66284">
      <w:pPr>
        <w:pStyle w:val="ConsPlusNormal"/>
        <w:jc w:val="both"/>
      </w:pPr>
      <w:r>
        <w:t xml:space="preserve">(п. 1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21.02.2017 N 192)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B66284" w:rsidRDefault="00B66284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27.09.2012 N 221)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66284" w:rsidRDefault="00B66284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27.09.2012 N 221)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 xml:space="preserve">5) оказания автотранспортных услуг по перевозке пассажиров и грузов, осуществляемых </w:t>
      </w:r>
      <w:r>
        <w:lastRenderedPageBreak/>
        <w:t>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B66284" w:rsidRDefault="00B66284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66284" w:rsidRDefault="00B6628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24.10.2008 N 236)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66284" w:rsidRDefault="00B6628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24.10.2008 N 236)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B66284" w:rsidRDefault="00B66284">
      <w:pPr>
        <w:pStyle w:val="ConsPlusNormal"/>
        <w:jc w:val="both"/>
      </w:pPr>
      <w:r>
        <w:t xml:space="preserve">(п. 10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24.10.2008 N 236)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B66284" w:rsidRDefault="00B66284">
      <w:pPr>
        <w:pStyle w:val="ConsPlusNormal"/>
        <w:jc w:val="both"/>
      </w:pPr>
      <w:r>
        <w:t xml:space="preserve">(п. 11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27.09.2012 N 221)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66284" w:rsidRDefault="00B6628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24.10.2008 N 236)</w:t>
      </w:r>
    </w:p>
    <w:p w:rsidR="00B66284" w:rsidRDefault="00B66284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66284" w:rsidRDefault="00B66284">
      <w:pPr>
        <w:pStyle w:val="ConsPlusNormal"/>
        <w:jc w:val="both"/>
      </w:pPr>
      <w:r>
        <w:t xml:space="preserve">(п. 14 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24.10.2008 N 236)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  <w:outlineLvl w:val="1"/>
      </w:pPr>
      <w:r>
        <w:t>Статья 4. Корректирующий коэффициент базовой доходности</w:t>
      </w:r>
    </w:p>
    <w:p w:rsidR="00B66284" w:rsidRDefault="00B66284">
      <w:pPr>
        <w:pStyle w:val="ConsPlusNormal"/>
        <w:ind w:firstLine="540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Заинского районного Совета от 24.10.2008 N 236)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</w:pPr>
      <w:r>
        <w:t>В отношении видов предпринимательской деятельности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в соответствии с </w:t>
      </w:r>
      <w:hyperlink w:anchor="P74" w:history="1">
        <w:r>
          <w:rPr>
            <w:color w:val="0000FF"/>
          </w:rPr>
          <w:t>приложением</w:t>
        </w:r>
      </w:hyperlink>
      <w:r>
        <w:t xml:space="preserve"> к решению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  <w:outlineLvl w:val="1"/>
      </w:pPr>
      <w:r>
        <w:t>Статья 5. Вступление в силу настоящего решения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ind w:firstLine="540"/>
        <w:jc w:val="both"/>
      </w:pPr>
      <w:r>
        <w:t>Настоящее решение вступает в силу с 1 января 2006 года, но не ранее чем по истечении одного месяца со дня его официального опубликования в газетах "Новый Зай" и "Зай офыклары".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jc w:val="right"/>
      </w:pPr>
      <w:r>
        <w:t>Глава Заинского</w:t>
      </w:r>
    </w:p>
    <w:p w:rsidR="00B66284" w:rsidRDefault="00B66284">
      <w:pPr>
        <w:pStyle w:val="ConsPlusNormal"/>
        <w:jc w:val="right"/>
      </w:pPr>
      <w:r>
        <w:t>муниципального района</w:t>
      </w:r>
    </w:p>
    <w:p w:rsidR="00B66284" w:rsidRDefault="00B66284">
      <w:pPr>
        <w:pStyle w:val="ConsPlusNormal"/>
        <w:jc w:val="right"/>
      </w:pPr>
      <w:r>
        <w:t>Р.Ш.ФАРДИЕВ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jc w:val="right"/>
        <w:outlineLvl w:val="0"/>
      </w:pPr>
      <w:r>
        <w:t>Приложение</w:t>
      </w:r>
    </w:p>
    <w:p w:rsidR="00B66284" w:rsidRDefault="00B66284">
      <w:pPr>
        <w:pStyle w:val="ConsPlusNormal"/>
        <w:jc w:val="right"/>
      </w:pPr>
      <w:r>
        <w:t>к решению</w:t>
      </w:r>
    </w:p>
    <w:p w:rsidR="00B66284" w:rsidRDefault="00B66284">
      <w:pPr>
        <w:pStyle w:val="ConsPlusNormal"/>
        <w:jc w:val="right"/>
      </w:pPr>
      <w:r>
        <w:t>Совета Заинского муниципального района</w:t>
      </w:r>
    </w:p>
    <w:p w:rsidR="00B66284" w:rsidRDefault="00B66284">
      <w:pPr>
        <w:pStyle w:val="ConsPlusNormal"/>
        <w:jc w:val="right"/>
      </w:pPr>
      <w:r>
        <w:t>от 11 ноября 2005 г. N 16</w:t>
      </w: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Title"/>
        <w:jc w:val="center"/>
      </w:pPr>
      <w:bookmarkStart w:id="1" w:name="P74"/>
      <w:bookmarkEnd w:id="1"/>
      <w:r>
        <w:t>ЗНАЧЕНИЕ КОРРЕКТИРУЮЩЕГО КОЭФФИЦИЕНТА</w:t>
      </w:r>
    </w:p>
    <w:p w:rsidR="00B66284" w:rsidRDefault="00B66284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</w:p>
    <w:p w:rsidR="00B66284" w:rsidRDefault="00B662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62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6284" w:rsidRDefault="00B662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284" w:rsidRDefault="00B662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Заинского районного Совета</w:t>
            </w:r>
            <w:proofErr w:type="gramEnd"/>
          </w:p>
          <w:p w:rsidR="00B66284" w:rsidRDefault="00B66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06.10.2010 </w:t>
            </w:r>
            <w:hyperlink r:id="rId25" w:history="1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 xml:space="preserve">, от 08.04.2011 </w:t>
            </w:r>
            <w:hyperlink r:id="rId26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</w:t>
            </w:r>
          </w:p>
          <w:p w:rsidR="00B66284" w:rsidRDefault="00B66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27.09.2012 </w:t>
            </w:r>
            <w:hyperlink r:id="rId27" w:history="1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 xml:space="preserve">, от 15.11.2016 </w:t>
            </w:r>
            <w:hyperlink r:id="rId28" w:history="1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6284" w:rsidRDefault="00B6628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5839"/>
        <w:gridCol w:w="2145"/>
      </w:tblGrid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center"/>
            </w:pPr>
            <w:r>
              <w:t>Наименования видов услуг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Коэффициент К</w:t>
            </w:r>
            <w:proofErr w:type="gramStart"/>
            <w:r>
              <w:t>2</w:t>
            </w:r>
            <w:proofErr w:type="gramEnd"/>
          </w:p>
        </w:tc>
      </w:tr>
      <w:tr w:rsidR="00B66284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 xml:space="preserve">Оказание бытовых услуг. Коды видов деятельности в соответствии с Общероссийским </w:t>
            </w:r>
            <w:hyperlink r:id="rId29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3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2145" w:type="dxa"/>
            <w:tcBorders>
              <w:bottom w:val="nil"/>
            </w:tcBorders>
          </w:tcPr>
          <w:p w:rsidR="00B66284" w:rsidRDefault="00B66284">
            <w:pPr>
              <w:pStyle w:val="ConsPlusNormal"/>
            </w:pPr>
          </w:p>
        </w:tc>
      </w:tr>
      <w:tr w:rsidR="00B66284">
        <w:tblPrEx>
          <w:tblBorders>
            <w:insideH w:val="nil"/>
          </w:tblBorders>
        </w:tblPrEx>
        <w:tc>
          <w:tcPr>
            <w:tcW w:w="8974" w:type="dxa"/>
            <w:gridSpan w:val="3"/>
            <w:tcBorders>
              <w:top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Заинского районного Совет от 15.11.2016 N 147)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0,3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услуги бань и душевых до 30 мест (включительно) и прочие услуги, оказываемые в банях и душевых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услуги бань и душевых свыше 30 мест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0,01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услуги по захоронению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0,1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0,2</w:t>
            </w:r>
          </w:p>
        </w:tc>
      </w:tr>
      <w:tr w:rsidR="00B66284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839" w:type="dxa"/>
            <w:tcBorders>
              <w:bottom w:val="nil"/>
            </w:tcBorders>
          </w:tcPr>
          <w:p w:rsidR="00B66284" w:rsidRDefault="00B66284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45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  <w:tr w:rsidR="00B66284">
        <w:tblPrEx>
          <w:tblBorders>
            <w:insideH w:val="nil"/>
          </w:tblBorders>
        </w:tblPrEx>
        <w:tc>
          <w:tcPr>
            <w:tcW w:w="8974" w:type="dxa"/>
            <w:gridSpan w:val="3"/>
            <w:tcBorders>
              <w:top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 xml:space="preserve">(п. 3 в ред. </w:t>
            </w:r>
            <w:hyperlink r:id="rId3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Заинского районного Совета от 27.09.2012 N 221)</w:t>
            </w:r>
          </w:p>
        </w:tc>
      </w:tr>
      <w:tr w:rsidR="00B66284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145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  <w:tr w:rsidR="00B66284">
        <w:tblPrEx>
          <w:tblBorders>
            <w:insideH w:val="nil"/>
          </w:tblBorders>
        </w:tblPrEx>
        <w:tc>
          <w:tcPr>
            <w:tcW w:w="8974" w:type="dxa"/>
            <w:gridSpan w:val="3"/>
            <w:tcBorders>
              <w:top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 xml:space="preserve">(п. 4 в ред. </w:t>
            </w:r>
            <w:hyperlink r:id="rId3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Заинского районного Совета от 27.09.2012 N 221)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</w:pP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перевозка грузов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0,6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перевозка пассажиров транспортом с посадочными местами: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</w:pP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до 5 мест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до 20 мест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0,3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свыше 20 мест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0,1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в населенных пунктах с численностью населения: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</w:pP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до 300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0,05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от 301 до 800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9,1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от 801 до 1500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0,2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свыше 1500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0,6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</w:pP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0,4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 xml:space="preserve">Розничная торговля, осуществляемая через объекты стационарной торговой сети, не имеющей торговых залов, а </w:t>
            </w:r>
            <w:r>
              <w:lastRenderedPageBreak/>
              <w:t>также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lastRenderedPageBreak/>
              <w:t>0,5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0,4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населенных пунктах с численностью населения: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</w:pP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до 300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0,01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от 301 до 800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0,05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от 801 до 1500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0,05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свыше 1500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0,4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имеющих зала обслуживания посетителей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</w:pP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до 300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0,01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от 301 до 800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0,05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от 801 до 1500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0,1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</w:pPr>
          </w:p>
        </w:tc>
        <w:tc>
          <w:tcPr>
            <w:tcW w:w="5839" w:type="dxa"/>
          </w:tcPr>
          <w:p w:rsidR="00B66284" w:rsidRDefault="00B66284">
            <w:pPr>
              <w:pStyle w:val="ConsPlusNormal"/>
            </w:pPr>
            <w:r>
              <w:t>свыше 1500 человек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0,2</w:t>
            </w:r>
          </w:p>
        </w:tc>
      </w:tr>
      <w:tr w:rsidR="00B66284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45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t>0,15</w:t>
            </w:r>
          </w:p>
        </w:tc>
      </w:tr>
      <w:tr w:rsidR="00B66284">
        <w:tblPrEx>
          <w:tblBorders>
            <w:insideH w:val="nil"/>
          </w:tblBorders>
        </w:tblPrEx>
        <w:tc>
          <w:tcPr>
            <w:tcW w:w="8974" w:type="dxa"/>
            <w:gridSpan w:val="3"/>
            <w:tcBorders>
              <w:top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Заинского районного Совета от 08.04.2011 N 69)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0,3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0,3</w:t>
            </w:r>
          </w:p>
        </w:tc>
      </w:tr>
      <w:tr w:rsidR="00B66284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45" w:type="dxa"/>
            <w:tcBorders>
              <w:bottom w:val="nil"/>
            </w:tcBorders>
          </w:tcPr>
          <w:p w:rsidR="00B66284" w:rsidRDefault="00B66284">
            <w:pPr>
              <w:pStyle w:val="ConsPlusNormal"/>
              <w:jc w:val="center"/>
            </w:pPr>
            <w:r>
              <w:t>0,2</w:t>
            </w:r>
          </w:p>
        </w:tc>
      </w:tr>
      <w:tr w:rsidR="00B66284">
        <w:tblPrEx>
          <w:tblBorders>
            <w:insideH w:val="nil"/>
          </w:tblBorders>
        </w:tblPrEx>
        <w:tc>
          <w:tcPr>
            <w:tcW w:w="8974" w:type="dxa"/>
            <w:gridSpan w:val="3"/>
            <w:tcBorders>
              <w:top w:val="nil"/>
            </w:tcBorders>
          </w:tcPr>
          <w:p w:rsidR="00B66284" w:rsidRDefault="00B66284">
            <w:pPr>
              <w:pStyle w:val="ConsPlusNormal"/>
              <w:jc w:val="both"/>
            </w:pPr>
            <w:r>
              <w:t xml:space="preserve">(п. 11 в ред. </w:t>
            </w:r>
            <w:hyperlink r:id="rId3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Заинского районного Совета от 27.09.2012 N 221)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0,2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</w:pP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</w:pP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  <w:tr w:rsidR="00B66284">
        <w:tc>
          <w:tcPr>
            <w:tcW w:w="990" w:type="dxa"/>
          </w:tcPr>
          <w:p w:rsidR="00B66284" w:rsidRDefault="00B66284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39" w:type="dxa"/>
          </w:tcPr>
          <w:p w:rsidR="00B66284" w:rsidRDefault="00B6628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45" w:type="dxa"/>
          </w:tcPr>
          <w:p w:rsidR="00B66284" w:rsidRDefault="00B66284">
            <w:pPr>
              <w:pStyle w:val="ConsPlusNormal"/>
              <w:jc w:val="center"/>
            </w:pPr>
            <w:r>
              <w:t>0,5</w:t>
            </w:r>
          </w:p>
        </w:tc>
      </w:tr>
    </w:tbl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jc w:val="both"/>
      </w:pPr>
    </w:p>
    <w:p w:rsidR="00B66284" w:rsidRDefault="00B662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7F9" w:rsidRDefault="00B227F9">
      <w:bookmarkStart w:id="2" w:name="_GoBack"/>
      <w:bookmarkEnd w:id="2"/>
    </w:p>
    <w:sectPr w:rsidR="00B227F9" w:rsidSect="0050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84"/>
    <w:rsid w:val="00B227F9"/>
    <w:rsid w:val="00B6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06B93BB3A4A175FFF56C72302E5F40F61EC9671A814375BE7DA4193E98E3DCA07281E3607C60F10A06191B0FFE9F6CDA03F5BF0F52649734CFCx1PAK" TargetMode="External"/><Relationship Id="rId13" Type="http://schemas.openxmlformats.org/officeDocument/2006/relationships/hyperlink" Target="consultantplus://offline/ref=26D06B93BB3A4A175FFF48CA356EB8FF0F6ABA9371A5176702B8811CC4E0846A8D48715C7209C00D15AB35C5FFFEB5B39AB33F58F0F62756x7P9K" TargetMode="External"/><Relationship Id="rId18" Type="http://schemas.openxmlformats.org/officeDocument/2006/relationships/hyperlink" Target="consultantplus://offline/ref=26D06B93BB3A4A175FFF56C72302E5F40F61EC9677A91D3656E7DA4193E98E3DCA07281E3607C60F10A0619DB0FFE9F6CDA03F5BF0F52649734CFCx1PAK" TargetMode="External"/><Relationship Id="rId26" Type="http://schemas.openxmlformats.org/officeDocument/2006/relationships/hyperlink" Target="consultantplus://offline/ref=26D06B93BB3A4A175FFF56C72302E5F40F61EC9672A01A315CE7DA4193E98E3DCA07281E3607C60F10A06191B0FFE9F6CDA03F5BF0F52649734CFCx1PA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D06B93BB3A4A175FFF56C72302E5F40F61EC9673A51D395CE7DA4193E98E3DCA07281E3607C60F10A06095B0FFE9F6CDA03F5BF0F52649734CFCx1PAK" TargetMode="External"/><Relationship Id="rId34" Type="http://schemas.openxmlformats.org/officeDocument/2006/relationships/hyperlink" Target="consultantplus://offline/ref=26D06B93BB3A4A175FFF56C72302E5F40F61EC9672A01A315CE7DA4193E98E3DCA07281E3607C60F10A06193B0FFE9F6CDA03F5BF0F52649734CFCx1PAK" TargetMode="External"/><Relationship Id="rId7" Type="http://schemas.openxmlformats.org/officeDocument/2006/relationships/hyperlink" Target="consultantplus://offline/ref=26D06B93BB3A4A175FFF56C72302E5F40F61EC9677A91D3656E7DA4193E98E3DCA07281E3607C60F10A06191B0FFE9F6CDA03F5BF0F52649734CFCx1PAK" TargetMode="External"/><Relationship Id="rId12" Type="http://schemas.openxmlformats.org/officeDocument/2006/relationships/hyperlink" Target="consultantplus://offline/ref=26D06B93BB3A4A175FFF56C72302E5F40F61EC9675A019325CE4874B9BB0823FCD087709314ECA0E10A06194BEA0ECE3DCF83358ECEA26566F4EFD13x1P8K" TargetMode="External"/><Relationship Id="rId17" Type="http://schemas.openxmlformats.org/officeDocument/2006/relationships/hyperlink" Target="consultantplus://offline/ref=26D06B93BB3A4A175FFF56C72302E5F40F61EC9673A51D395CE7DA4193E98E3DCA07281E3607C60F10A0619DB0FFE9F6CDA03F5BF0F52649734CFCx1PAK" TargetMode="External"/><Relationship Id="rId25" Type="http://schemas.openxmlformats.org/officeDocument/2006/relationships/hyperlink" Target="consultantplus://offline/ref=26D06B93BB3A4A175FFF56C72302E5F40F61EC9671A814375BE7DA4193E98E3DCA07281E3607C60F10A06192B0FFE9F6CDA03F5BF0F52649734CFCx1PAK" TargetMode="External"/><Relationship Id="rId33" Type="http://schemas.openxmlformats.org/officeDocument/2006/relationships/hyperlink" Target="consultantplus://offline/ref=26D06B93BB3A4A175FFF56C72302E5F40F61EC9673A51D395CE7DA4193E98E3DCA07281E3607C60F10A0619DB0FFE9F6CDA03F5BF0F52649734CFCx1P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D06B93BB3A4A175FFF56C72302E5F40F61EC9673A51D395CE7DA4193E98E3DCA07281E3607C60F10A06193B0FFE9F6CDA03F5BF0F52649734CFCx1PAK" TargetMode="External"/><Relationship Id="rId20" Type="http://schemas.openxmlformats.org/officeDocument/2006/relationships/hyperlink" Target="consultantplus://offline/ref=26D06B93BB3A4A175FFF56C72302E5F40F61EC9677A91D3656E7DA4193E98E3DCA07281E3607C60F10A06096B0FFE9F6CDA03F5BF0F52649734CFCx1PAK" TargetMode="External"/><Relationship Id="rId29" Type="http://schemas.openxmlformats.org/officeDocument/2006/relationships/hyperlink" Target="consultantplus://offline/ref=26D06B93BB3A4A175FFF48CA356EB8FF0D6FBA9C71A4176702B8811CC4E0846A8D48715C720AC70919AB35C5FFFEB5B39AB33F58F0F62756x7P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06B93BB3A4A175FFF56C72302E5F40F61EC9677A31E3556E7DA4193E98E3DCA07281E3607C60F10A06191B0FFE9F6CDA03F5BF0F52649734CFCx1PAK" TargetMode="External"/><Relationship Id="rId11" Type="http://schemas.openxmlformats.org/officeDocument/2006/relationships/hyperlink" Target="consultantplus://offline/ref=26D06B93BB3A4A175FFF56C72302E5F40F61EC9675A01F315EE9874B9BB0823FCD087709314ECA0E10A06194BEA0ECE3DCF83358ECEA26566F4EFD13x1P8K" TargetMode="External"/><Relationship Id="rId24" Type="http://schemas.openxmlformats.org/officeDocument/2006/relationships/hyperlink" Target="consultantplus://offline/ref=26D06B93BB3A4A175FFF56C72302E5F40F61EC9677A91D3656E7DA4193E98E3DCA07281E3607C60F10A06093B0FFE9F6CDA03F5BF0F52649734CFCx1PAK" TargetMode="External"/><Relationship Id="rId32" Type="http://schemas.openxmlformats.org/officeDocument/2006/relationships/hyperlink" Target="consultantplus://offline/ref=26D06B93BB3A4A175FFF56C72302E5F40F61EC9673A51D395CE7DA4193E98E3DCA07281E3607C60F10A06193B0FFE9F6CDA03F5BF0F52649734CFCx1PAK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6D06B93BB3A4A175FFF56C72302E5F40F61EC9675A019325CE4874B9BB0823FCD087709314ECA0E10A06194BDA0ECE3DCF83358ECEA26566F4EFD13x1P8K" TargetMode="External"/><Relationship Id="rId23" Type="http://schemas.openxmlformats.org/officeDocument/2006/relationships/hyperlink" Target="consultantplus://offline/ref=26D06B93BB3A4A175FFF56C72302E5F40F61EC9677A91D3656E7DA4193E98E3DCA07281E3607C60F10A06091B0FFE9F6CDA03F5BF0F52649734CFCx1PAK" TargetMode="External"/><Relationship Id="rId28" Type="http://schemas.openxmlformats.org/officeDocument/2006/relationships/hyperlink" Target="consultantplus://offline/ref=26D06B93BB3A4A175FFF56C72302E5F40F61EC9675A01F315EE9874B9BB0823FCD087709314ECA0E10A06194BDA0ECE3DCF83358ECEA26566F4EFD13x1P8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6D06B93BB3A4A175FFF56C72302E5F40F61EC9673A51D395CE7DA4193E98E3DCA07281E3607C60F10A06191B0FFE9F6CDA03F5BF0F52649734CFCx1PAK" TargetMode="External"/><Relationship Id="rId19" Type="http://schemas.openxmlformats.org/officeDocument/2006/relationships/hyperlink" Target="consultantplus://offline/ref=26D06B93BB3A4A175FFF56C72302E5F40F61EC9677A91D3656E7DA4193E98E3DCA07281E3607C60F10A06094B0FFE9F6CDA03F5BF0F52649734CFCx1PAK" TargetMode="External"/><Relationship Id="rId31" Type="http://schemas.openxmlformats.org/officeDocument/2006/relationships/hyperlink" Target="consultantplus://offline/ref=26D06B93BB3A4A175FFF56C72302E5F40F61EC9675A01F315EE9874B9BB0823FCD087709314ECA0E10A06194BCA0ECE3DCF83358ECEA26566F4EFD13x1P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06B93BB3A4A175FFF56C72302E5F40F61EC9672A01A315CE7DA4193E98E3DCA07281E3607C60F10A06191B0FFE9F6CDA03F5BF0F52649734CFCx1PAK" TargetMode="External"/><Relationship Id="rId14" Type="http://schemas.openxmlformats.org/officeDocument/2006/relationships/hyperlink" Target="consultantplus://offline/ref=26D06B93BB3A4A175FFF56C72302E5F40F61EC9677A31E3556E7DA4193E98E3DCA07281E3607C60F10A06192B0FFE9F6CDA03F5BF0F52649734CFCx1PAK" TargetMode="External"/><Relationship Id="rId22" Type="http://schemas.openxmlformats.org/officeDocument/2006/relationships/hyperlink" Target="consultantplus://offline/ref=26D06B93BB3A4A175FFF56C72302E5F40F61EC9677A91D3656E7DA4193E98E3DCA07281E3607C60F10A06090B0FFE9F6CDA03F5BF0F52649734CFCx1PAK" TargetMode="External"/><Relationship Id="rId27" Type="http://schemas.openxmlformats.org/officeDocument/2006/relationships/hyperlink" Target="consultantplus://offline/ref=26D06B93BB3A4A175FFF56C72302E5F40F61EC9673A51D395CE7DA4193E98E3DCA07281E3607C60F10A06192B0FFE9F6CDA03F5BF0F52649734CFCx1PAK" TargetMode="External"/><Relationship Id="rId30" Type="http://schemas.openxmlformats.org/officeDocument/2006/relationships/hyperlink" Target="consultantplus://offline/ref=26D06B93BB3A4A175FFF48CA356EB8FF0D62B1987DA0176702B8811CC4E0846A8D48715C720AC70E13AB35C5FFFEB5B39AB33F58F0F62756x7P9K" TargetMode="External"/><Relationship Id="rId35" Type="http://schemas.openxmlformats.org/officeDocument/2006/relationships/hyperlink" Target="consultantplus://offline/ref=26D06B93BB3A4A175FFF56C72302E5F40F61EC9673A51D395CE7DA4193E98E3DCA07281E3607C60F10A06095B0FFE9F6CDA03F5BF0F52649734CFCx1P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2018-11-12T10:15:00Z</dcterms:created>
  <dcterms:modified xsi:type="dcterms:W3CDTF">2018-11-12T10:16:00Z</dcterms:modified>
</cp:coreProperties>
</file>